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DA4" w:rsidRPr="00940DA4" w:rsidRDefault="00940DA4" w:rsidP="00940DA4">
      <w:pPr>
        <w:spacing w:line="240" w:lineRule="auto"/>
        <w:rPr>
          <w:rFonts w:ascii="Arial" w:eastAsia="Times New Roman" w:hAnsi="Arial" w:cs="Arial"/>
          <w:i/>
          <w:iCs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i/>
          <w:iCs/>
          <w:color w:val="333333"/>
          <w:sz w:val="26"/>
          <w:szCs w:val="26"/>
          <w:lang w:eastAsia="uk-UA"/>
        </w:rPr>
        <w:t>Готуємося до викладання інформатики у 5-х класах НУШ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Новий </w:t>
      </w:r>
      <w:hyperlink r:id="rId5" w:tgtFrame="_blank" w:history="1">
        <w:r w:rsidRPr="00940DA4">
          <w:rPr>
            <w:rFonts w:ascii="Arial" w:eastAsia="Times New Roman" w:hAnsi="Arial" w:cs="Arial"/>
            <w:color w:val="2979FF"/>
            <w:sz w:val="26"/>
            <w:szCs w:val="26"/>
            <w:lang w:eastAsia="uk-UA"/>
          </w:rPr>
          <w:t>Держстандарт</w:t>
        </w:r>
      </w:hyperlink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є базовим документом для організації освітнього процесу у 5-9 класах НУШ. Цим нормативом визначено 9 освітніх галузей, які мають розвивати природні здібності, інтереси та обдарування учнів, формувати компетентності, необхідні для їх соціалізації та самореалізації, виховувати громадянина з відповідальною життєвою позицією. Аби допомогти вчителям розібратися з вимогами до результатів навчання учнів інформатичної освітньої галузі, ми підготували вибірковий огляд Держстандарту.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У Держстандарті для кожної освітньої галузі визначено мету, компетентнісний потенціал (перелік умінь та ставлень й базові знання), обов’язкові результати навчання учнів та орієнтири для їхнього  оцінювання. </w:t>
      </w:r>
    </w:p>
    <w:p w:rsidR="00940DA4" w:rsidRPr="00940DA4" w:rsidRDefault="00940DA4" w:rsidP="00940DA4">
      <w:pPr>
        <w:shd w:val="clear" w:color="auto" w:fill="F9F7F4"/>
        <w:spacing w:line="384" w:lineRule="atLeast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40DA4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Метою інформатичної освітньої галузі є розвиток особистості учня, здатного використовувати цифрові інструменти і технології для розв’язання проблем, розвитку, творчого самовираження, забезпечення власного і суспільного добробуту, критично мислити, безпечно та відповідально діяти в інформаційному суспільстві.</w:t>
      </w:r>
    </w:p>
    <w:p w:rsidR="00940DA4" w:rsidRPr="00940DA4" w:rsidRDefault="00940DA4" w:rsidP="00940DA4">
      <w:pPr>
        <w:spacing w:before="375" w:after="188" w:line="240" w:lineRule="auto"/>
        <w:outlineLvl w:val="2"/>
        <w:rPr>
          <w:rFonts w:ascii="inherit" w:eastAsia="Times New Roman" w:hAnsi="inherit" w:cs="Arial"/>
          <w:b/>
          <w:bCs/>
          <w:color w:val="333333"/>
          <w:sz w:val="40"/>
          <w:szCs w:val="40"/>
          <w:lang w:eastAsia="uk-UA"/>
        </w:rPr>
      </w:pPr>
      <w:r w:rsidRPr="00940DA4">
        <w:rPr>
          <w:rFonts w:ascii="inherit" w:eastAsia="Times New Roman" w:hAnsi="inherit" w:cs="Arial"/>
          <w:b/>
          <w:bCs/>
          <w:color w:val="333333"/>
          <w:sz w:val="40"/>
          <w:szCs w:val="40"/>
          <w:lang w:eastAsia="uk-UA"/>
        </w:rPr>
        <w:t>Навчальне навантаження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Базовим навчальним планом визначено річний діапазон кількості годин для вивчення кожної освітньої галузі. У 5-6-х класах закладів загальної середньої освіти з українською мовою навчання для реалізації інформатичної освітньої галузі встановлено обсяг у межах: </w:t>
      </w:r>
    </w:p>
    <w:p w:rsidR="00940DA4" w:rsidRPr="00940DA4" w:rsidRDefault="00940DA4" w:rsidP="00940DA4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мінімального показника, який становить 70 годин;</w:t>
      </w:r>
    </w:p>
    <w:p w:rsidR="00940DA4" w:rsidRPr="00940DA4" w:rsidRDefault="00940DA4" w:rsidP="00940DA4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максимального – 140 годин;</w:t>
      </w:r>
    </w:p>
    <w:p w:rsidR="00940DA4" w:rsidRPr="00940DA4" w:rsidRDefault="00940DA4" w:rsidP="00940DA4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рекомендованого –105 годин.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Згідно з </w:t>
      </w:r>
      <w:hyperlink r:id="rId6" w:tgtFrame="_blank" w:history="1">
        <w:r w:rsidRPr="00940DA4">
          <w:rPr>
            <w:rFonts w:ascii="Arial" w:eastAsia="Times New Roman" w:hAnsi="Arial" w:cs="Arial"/>
            <w:color w:val="2979FF"/>
            <w:sz w:val="26"/>
            <w:szCs w:val="26"/>
            <w:lang w:eastAsia="uk-UA"/>
          </w:rPr>
          <w:t>Типовим навчальним планом</w:t>
        </w:r>
      </w:hyperlink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діапазон тижневого навчального навантаження цієї освітньої галузі становить від 1 до 2 годин (рекомендовано – 1,5 години). Резерв навчальних годин (різниця між рекомендованою та мінімальною кількість годин) становить 0,5 години, який може бути розподілений між обов’язковими для вивчення та вибірковими освітніми компонентами.</w:t>
      </w:r>
    </w:p>
    <w:p w:rsidR="00940DA4" w:rsidRPr="00940DA4" w:rsidRDefault="00940DA4" w:rsidP="00940DA4">
      <w:pPr>
        <w:spacing w:before="375" w:after="188" w:line="240" w:lineRule="auto"/>
        <w:outlineLvl w:val="2"/>
        <w:rPr>
          <w:rFonts w:ascii="inherit" w:eastAsia="Times New Roman" w:hAnsi="inherit" w:cs="Arial"/>
          <w:b/>
          <w:bCs/>
          <w:color w:val="333333"/>
          <w:sz w:val="40"/>
          <w:szCs w:val="40"/>
          <w:lang w:eastAsia="uk-UA"/>
        </w:rPr>
      </w:pPr>
      <w:r w:rsidRPr="00940DA4">
        <w:rPr>
          <w:rFonts w:ascii="inherit" w:eastAsia="Times New Roman" w:hAnsi="inherit" w:cs="Arial"/>
          <w:b/>
          <w:bCs/>
          <w:color w:val="333333"/>
          <w:sz w:val="40"/>
          <w:szCs w:val="40"/>
          <w:lang w:eastAsia="uk-UA"/>
        </w:rPr>
        <w:t>Базові знання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Держстандартом передбачено, що школярі мають опанувати базові знання інформатичної освітньої галузі за такими напрямами:</w:t>
      </w:r>
    </w:p>
    <w:p w:rsidR="00940DA4" w:rsidRPr="00940DA4" w:rsidRDefault="00940DA4" w:rsidP="00940DA4">
      <w:pPr>
        <w:numPr>
          <w:ilvl w:val="0"/>
          <w:numId w:val="2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lastRenderedPageBreak/>
        <w:t>інформаційні процеси і системи;</w:t>
      </w:r>
    </w:p>
    <w:p w:rsidR="00940DA4" w:rsidRPr="00940DA4" w:rsidRDefault="00940DA4" w:rsidP="00940DA4">
      <w:pPr>
        <w:numPr>
          <w:ilvl w:val="0"/>
          <w:numId w:val="2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комп’ютер; </w:t>
      </w:r>
    </w:p>
    <w:p w:rsidR="00940DA4" w:rsidRPr="00940DA4" w:rsidRDefault="00940DA4" w:rsidP="00940DA4">
      <w:pPr>
        <w:numPr>
          <w:ilvl w:val="0"/>
          <w:numId w:val="2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програмне забезпечення;</w:t>
      </w:r>
    </w:p>
    <w:p w:rsidR="00940DA4" w:rsidRPr="00940DA4" w:rsidRDefault="00940DA4" w:rsidP="00940DA4">
      <w:pPr>
        <w:numPr>
          <w:ilvl w:val="0"/>
          <w:numId w:val="2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Інтернет;</w:t>
      </w:r>
    </w:p>
    <w:p w:rsidR="00940DA4" w:rsidRPr="00940DA4" w:rsidRDefault="00940DA4" w:rsidP="00940DA4">
      <w:pPr>
        <w:numPr>
          <w:ilvl w:val="0"/>
          <w:numId w:val="2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алгоритми і програми; </w:t>
      </w:r>
    </w:p>
    <w:p w:rsidR="00940DA4" w:rsidRPr="00940DA4" w:rsidRDefault="00940DA4" w:rsidP="00940DA4">
      <w:pPr>
        <w:numPr>
          <w:ilvl w:val="0"/>
          <w:numId w:val="2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комп’ютерна графіка;</w:t>
      </w:r>
    </w:p>
    <w:p w:rsidR="00940DA4" w:rsidRPr="00940DA4" w:rsidRDefault="00940DA4" w:rsidP="00940DA4">
      <w:pPr>
        <w:numPr>
          <w:ilvl w:val="0"/>
          <w:numId w:val="2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текстові документи; </w:t>
      </w:r>
    </w:p>
    <w:p w:rsidR="00940DA4" w:rsidRPr="00940DA4" w:rsidRDefault="00940DA4" w:rsidP="00940DA4">
      <w:pPr>
        <w:numPr>
          <w:ilvl w:val="0"/>
          <w:numId w:val="2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комп’ютерні презентації;</w:t>
      </w:r>
    </w:p>
    <w:p w:rsidR="00940DA4" w:rsidRPr="00940DA4" w:rsidRDefault="00940DA4" w:rsidP="00940DA4">
      <w:pPr>
        <w:numPr>
          <w:ilvl w:val="0"/>
          <w:numId w:val="2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електронні таблиці;</w:t>
      </w:r>
    </w:p>
    <w:p w:rsidR="00940DA4" w:rsidRPr="00940DA4" w:rsidRDefault="00940DA4" w:rsidP="00940DA4">
      <w:pPr>
        <w:numPr>
          <w:ilvl w:val="0"/>
          <w:numId w:val="2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бази даних; </w:t>
      </w:r>
    </w:p>
    <w:p w:rsidR="00940DA4" w:rsidRPr="00940DA4" w:rsidRDefault="00940DA4" w:rsidP="00940DA4">
      <w:pPr>
        <w:numPr>
          <w:ilvl w:val="0"/>
          <w:numId w:val="2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веб-ресурси;</w:t>
      </w:r>
    </w:p>
    <w:p w:rsidR="00940DA4" w:rsidRPr="00940DA4" w:rsidRDefault="00940DA4" w:rsidP="00940DA4">
      <w:pPr>
        <w:numPr>
          <w:ilvl w:val="0"/>
          <w:numId w:val="2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мультимедіа.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Передбачається, що на основі здобутих знань школярі опанують такі вміння та навички: </w:t>
      </w:r>
    </w:p>
    <w:p w:rsidR="00940DA4" w:rsidRPr="00940DA4" w:rsidRDefault="00940DA4" w:rsidP="00940DA4">
      <w:pPr>
        <w:numPr>
          <w:ilvl w:val="0"/>
          <w:numId w:val="3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пошук, аналіз, перетворення, узагальнення, систематизація та подання даних, критична оцінка інформації для розв’язання життєвих проблем;</w:t>
      </w:r>
    </w:p>
    <w:p w:rsidR="00940DA4" w:rsidRPr="00940DA4" w:rsidRDefault="00940DA4" w:rsidP="00940DA4">
      <w:pPr>
        <w:numPr>
          <w:ilvl w:val="0"/>
          <w:numId w:val="3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створення інформаційних продуктів і програм для ефективного розв’язання задач/проблем, творчого самовираження індивідуально та у співпраці з іншими особами за допомогою цифрових пристроїв чи без них;</w:t>
      </w:r>
    </w:p>
    <w:p w:rsidR="00940DA4" w:rsidRPr="00940DA4" w:rsidRDefault="00940DA4" w:rsidP="00940DA4">
      <w:pPr>
        <w:numPr>
          <w:ilvl w:val="0"/>
          <w:numId w:val="3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усвідомлене використання інформаційних та комунікаційних технологій та цифрових інструментів для доступу до інформації, спілкування та співпраця як творець та (або) споживач, а також самостійне опанування нових технологій;</w:t>
      </w: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br/>
        <w:t>усвідомлення наслідків використання інформаційних технологій для себе, суспільства, навколишнього природного середовища, дотримання етичних, культурних і правових норм інформаційної взаємодії. </w:t>
      </w:r>
    </w:p>
    <w:p w:rsidR="00940DA4" w:rsidRPr="00940DA4" w:rsidRDefault="00940DA4" w:rsidP="00940DA4">
      <w:pPr>
        <w:spacing w:before="375" w:after="188" w:line="240" w:lineRule="auto"/>
        <w:jc w:val="center"/>
        <w:outlineLvl w:val="2"/>
        <w:rPr>
          <w:rFonts w:ascii="inherit" w:eastAsia="Times New Roman" w:hAnsi="inherit" w:cs="Arial"/>
          <w:b/>
          <w:bCs/>
          <w:color w:val="333333"/>
          <w:sz w:val="40"/>
          <w:szCs w:val="40"/>
          <w:lang w:eastAsia="uk-UA"/>
        </w:rPr>
      </w:pPr>
      <w:r w:rsidRPr="00940DA4">
        <w:rPr>
          <w:rFonts w:ascii="inherit" w:eastAsia="Times New Roman" w:hAnsi="inherit" w:cs="Arial"/>
          <w:b/>
          <w:bCs/>
          <w:noProof/>
          <w:color w:val="333333"/>
          <w:sz w:val="40"/>
          <w:szCs w:val="40"/>
          <w:lang w:eastAsia="uk-UA"/>
        </w:rPr>
        <w:lastRenderedPageBreak/>
        <w:drawing>
          <wp:inline distT="0" distB="0" distL="0" distR="0" wp14:anchorId="5CA993D4" wp14:editId="33983613">
            <wp:extent cx="5708650" cy="5372100"/>
            <wp:effectExtent l="0" t="0" r="6350" b="0"/>
            <wp:docPr id="1" name="Рисунок 1" descr="https://naurok.com.ua/uploads/2022/%D0%96%D1%83%D1%80%D0%BD%D0%B0%D0%BB/5179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urok.com.ua/uploads/2022/%D0%96%D1%83%D1%80%D0%BD%D0%B0%D0%BB/517943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DA4" w:rsidRPr="00940DA4" w:rsidRDefault="00940DA4" w:rsidP="00940DA4">
      <w:pPr>
        <w:spacing w:before="375" w:after="188" w:line="240" w:lineRule="auto"/>
        <w:outlineLvl w:val="2"/>
        <w:rPr>
          <w:rFonts w:ascii="inherit" w:eastAsia="Times New Roman" w:hAnsi="inherit" w:cs="Arial"/>
          <w:b/>
          <w:bCs/>
          <w:color w:val="333333"/>
          <w:sz w:val="40"/>
          <w:szCs w:val="40"/>
          <w:lang w:eastAsia="uk-UA"/>
        </w:rPr>
      </w:pPr>
      <w:r w:rsidRPr="00940DA4">
        <w:rPr>
          <w:rFonts w:ascii="inherit" w:eastAsia="Times New Roman" w:hAnsi="inherit" w:cs="Arial"/>
          <w:b/>
          <w:bCs/>
          <w:color w:val="333333"/>
          <w:sz w:val="40"/>
          <w:szCs w:val="40"/>
          <w:lang w:eastAsia="uk-UA"/>
        </w:rPr>
        <w:t>Компоненти обов’язкових результатів навчання учнів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У Державному стандарті обов’язкові результати навчання учнів позначено індексами. Розберемося, як він розшифровується на прикладі індекса 6 ІФО 1.2.1-2:</w:t>
      </w:r>
    </w:p>
    <w:p w:rsidR="00940DA4" w:rsidRPr="00940DA4" w:rsidRDefault="00940DA4" w:rsidP="00940DA4">
      <w:pPr>
        <w:numPr>
          <w:ilvl w:val="0"/>
          <w:numId w:val="4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перша цифра вказує на порядковий номер року навчання, на завершення якого очікується досягнення результату навчання (6 клас);</w:t>
      </w:r>
    </w:p>
    <w:p w:rsidR="00940DA4" w:rsidRPr="00940DA4" w:rsidRDefault="00940DA4" w:rsidP="00940DA4">
      <w:pPr>
        <w:numPr>
          <w:ilvl w:val="0"/>
          <w:numId w:val="4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скорочений буквений запис означає освітню галузь (ІФО – інформатична освітня галузь).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Цифри після буквеного запису означають номер:</w:t>
      </w:r>
    </w:p>
    <w:p w:rsidR="00940DA4" w:rsidRPr="00940DA4" w:rsidRDefault="00940DA4" w:rsidP="00940DA4">
      <w:pPr>
        <w:numPr>
          <w:ilvl w:val="0"/>
          <w:numId w:val="5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групи споріднених результатів навчання (1);</w:t>
      </w:r>
    </w:p>
    <w:p w:rsidR="00940DA4" w:rsidRPr="00940DA4" w:rsidRDefault="00940DA4" w:rsidP="00940DA4">
      <w:pPr>
        <w:numPr>
          <w:ilvl w:val="0"/>
          <w:numId w:val="5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загальних результатів навчання учнів, через які реалізується компетентнісний потенціал галузі (2);</w:t>
      </w:r>
    </w:p>
    <w:p w:rsidR="00940DA4" w:rsidRPr="00940DA4" w:rsidRDefault="00940DA4" w:rsidP="00940DA4">
      <w:pPr>
        <w:numPr>
          <w:ilvl w:val="0"/>
          <w:numId w:val="5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lastRenderedPageBreak/>
        <w:t>конкретних результатів навчання учнів, що визначають їхній навчальний прогрес за освітніми циклами (1);</w:t>
      </w:r>
    </w:p>
    <w:p w:rsidR="00940DA4" w:rsidRPr="00940DA4" w:rsidRDefault="00940DA4" w:rsidP="00940DA4">
      <w:pPr>
        <w:numPr>
          <w:ilvl w:val="0"/>
          <w:numId w:val="5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орієнтир для оцінювання, на основі якого визначається рівень досягнення учнями результатів навчання (2).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Отже, досягнення обов’язкових результатів навчання учнів адаптаційного циклу в інформатичній освітній галузі очікується по завершенню 6 класу.</w:t>
      </w:r>
    </w:p>
    <w:p w:rsidR="00940DA4" w:rsidRPr="00940DA4" w:rsidRDefault="00940DA4" w:rsidP="00940DA4">
      <w:pPr>
        <w:spacing w:before="375" w:after="188" w:line="240" w:lineRule="auto"/>
        <w:outlineLvl w:val="2"/>
        <w:rPr>
          <w:rFonts w:ascii="inherit" w:eastAsia="Times New Roman" w:hAnsi="inherit" w:cs="Arial"/>
          <w:b/>
          <w:bCs/>
          <w:color w:val="333333"/>
          <w:sz w:val="40"/>
          <w:szCs w:val="40"/>
          <w:lang w:eastAsia="uk-UA"/>
        </w:rPr>
      </w:pPr>
      <w:r w:rsidRPr="00940DA4">
        <w:rPr>
          <w:rFonts w:ascii="inherit" w:eastAsia="Times New Roman" w:hAnsi="inherit" w:cs="Arial"/>
          <w:b/>
          <w:bCs/>
          <w:color w:val="333333"/>
          <w:sz w:val="40"/>
          <w:szCs w:val="40"/>
          <w:lang w:eastAsia="uk-UA"/>
        </w:rPr>
        <w:t>Орієнтири для оцінювання результатів навчання учнів у інформатичній освітній галузі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Інформатична освітня галузь включає 4 групи споріднених результатів навчання, а саме: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1. Пошук, подання, перетворення, аналіз, узагальнення та систематизація даних, критичне оцінювання інформації для розв’язання життєвих проблем.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У цій групі компетентнісний потенціал галузі реалізується через такі загальні результати навчання учнів: 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1.1. Дослідження та оцінка впливу інформаційних технологій на своє життя, навколишній світ і розвиток.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Навчальний прогрес характеризується тим, що учні вміють пояснювати призначення, обирати та використовувати цифрові пристрої і технології для здійснення інформаційних процесів у повсякденному житті та навчальній діяльності.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i/>
          <w:iCs/>
          <w:color w:val="333333"/>
          <w:sz w:val="26"/>
          <w:szCs w:val="26"/>
          <w:lang w:eastAsia="uk-UA"/>
        </w:rPr>
        <w:t>Орієнтирами для оцінювання результатів навчання є сформованість таких знань, умінь та навичок школярів: </w:t>
      </w:r>
    </w:p>
    <w:p w:rsidR="00940DA4" w:rsidRPr="00940DA4" w:rsidRDefault="00940DA4" w:rsidP="00940DA4">
      <w:pPr>
        <w:numPr>
          <w:ilvl w:val="0"/>
          <w:numId w:val="6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розрізнення та пояснення інформаційних процесів у навколишньому середовищі в контексті розв’язання конкретних задач;</w:t>
      </w:r>
    </w:p>
    <w:p w:rsidR="00940DA4" w:rsidRPr="00940DA4" w:rsidRDefault="00940DA4" w:rsidP="00940DA4">
      <w:pPr>
        <w:numPr>
          <w:ilvl w:val="0"/>
          <w:numId w:val="6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розпізнавання життєвих, навчальних проблем, для розв’язання яких можна застосувати цифрові технології; </w:t>
      </w:r>
    </w:p>
    <w:p w:rsidR="00940DA4" w:rsidRPr="00940DA4" w:rsidRDefault="00940DA4" w:rsidP="00940DA4">
      <w:pPr>
        <w:numPr>
          <w:ilvl w:val="0"/>
          <w:numId w:val="6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опис призначення та застосування цифрових пристроїв і технологій для здійснення інформаційних процесів із використанням відповідної термінології; </w:t>
      </w:r>
    </w:p>
    <w:p w:rsidR="00940DA4" w:rsidRPr="00940DA4" w:rsidRDefault="00940DA4" w:rsidP="00940DA4">
      <w:pPr>
        <w:numPr>
          <w:ilvl w:val="0"/>
          <w:numId w:val="6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пояснення вибору та використання цифрових пристроїв і технологій для розв’язання конкретних задач; </w:t>
      </w:r>
    </w:p>
    <w:p w:rsidR="00940DA4" w:rsidRPr="00940DA4" w:rsidRDefault="00940DA4" w:rsidP="00940DA4">
      <w:pPr>
        <w:numPr>
          <w:ilvl w:val="0"/>
          <w:numId w:val="6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наведення прикладів поширення цифрових інновацій у громаді, суспільстві, застосування їх для навчання, комунікації та творчості;</w:t>
      </w:r>
    </w:p>
    <w:p w:rsidR="00940DA4" w:rsidRPr="00940DA4" w:rsidRDefault="00940DA4" w:rsidP="00940DA4">
      <w:pPr>
        <w:numPr>
          <w:ilvl w:val="0"/>
          <w:numId w:val="6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lastRenderedPageBreak/>
        <w:t>опис та оцінка позитивного та негативного впливу інформаційних технологій на власне життя і суспільство.</w:t>
      </w:r>
    </w:p>
    <w:p w:rsidR="00940DA4" w:rsidRPr="00940DA4" w:rsidRDefault="00940DA4" w:rsidP="00940DA4">
      <w:pPr>
        <w:spacing w:before="375" w:after="375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pict>
          <v:rect id="_x0000_i1025" style="width:0;height:0" o:hralign="center" o:hrstd="t" o:hr="t" fillcolor="#a0a0a0" stroked="f"/>
        </w:pic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1.2. Пошук, збирання, зберігання, представлення, перетворення, структурування, аналіз та узагальнення даних різних типів.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Держстандартом передбачено, що учні навчаться визначати потребу в отриманні даних, шукати, збирати та зберігати дані за допомогою різних пристроїв і технологій, обирати спосіб структурування і візуалізації зібраних чи отриманих даних з використанням різних видів інфографіки.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i/>
          <w:iCs/>
          <w:color w:val="333333"/>
          <w:sz w:val="26"/>
          <w:szCs w:val="26"/>
          <w:lang w:eastAsia="uk-UA"/>
        </w:rPr>
        <w:t>Орієнтирами для оцінювання результатів навчання є сформованість таких знань, умінь та навичок школярів: </w:t>
      </w:r>
    </w:p>
    <w:p w:rsidR="00940DA4" w:rsidRPr="00940DA4" w:rsidRDefault="00940DA4" w:rsidP="00940DA4">
      <w:pPr>
        <w:numPr>
          <w:ilvl w:val="0"/>
          <w:numId w:val="7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визначення формату й обсягу даних, потрібних для розв’язання задачі, підтвердження чи спростування тверджень; </w:t>
      </w:r>
    </w:p>
    <w:p w:rsidR="00940DA4" w:rsidRPr="00940DA4" w:rsidRDefault="00940DA4" w:rsidP="00940DA4">
      <w:pPr>
        <w:numPr>
          <w:ilvl w:val="0"/>
          <w:numId w:val="7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вибір і застосування цифрових інструментів для збирання чи отримання даних; </w:t>
      </w:r>
    </w:p>
    <w:p w:rsidR="00940DA4" w:rsidRPr="00940DA4" w:rsidRDefault="00940DA4" w:rsidP="00940DA4">
      <w:pPr>
        <w:numPr>
          <w:ilvl w:val="0"/>
          <w:numId w:val="7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розпізнавання даних різних типів і наведення їх прикладів; </w:t>
      </w:r>
    </w:p>
    <w:p w:rsidR="00940DA4" w:rsidRPr="00940DA4" w:rsidRDefault="00940DA4" w:rsidP="00940DA4">
      <w:pPr>
        <w:numPr>
          <w:ilvl w:val="0"/>
          <w:numId w:val="7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зберігання результатів пошуку або власної роботи на зовнішніх носіях або мережних/хмарних ресурсах; </w:t>
      </w:r>
    </w:p>
    <w:p w:rsidR="00940DA4" w:rsidRPr="00940DA4" w:rsidRDefault="00940DA4" w:rsidP="00940DA4">
      <w:pPr>
        <w:numPr>
          <w:ilvl w:val="0"/>
          <w:numId w:val="7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вибір ключових слів і методів пошуку, формулювання різних типів запитань та/або запитів для пошуку потрібної інформації та/чи файлів на носіях; </w:t>
      </w:r>
    </w:p>
    <w:p w:rsidR="00940DA4" w:rsidRPr="00940DA4" w:rsidRDefault="00940DA4" w:rsidP="00940DA4">
      <w:pPr>
        <w:numPr>
          <w:ilvl w:val="0"/>
          <w:numId w:val="7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визначення простих закономірностей на підставі аналізу набору даних; </w:t>
      </w:r>
    </w:p>
    <w:p w:rsidR="00940DA4" w:rsidRPr="00940DA4" w:rsidRDefault="00940DA4" w:rsidP="00940DA4">
      <w:pPr>
        <w:numPr>
          <w:ilvl w:val="0"/>
          <w:numId w:val="7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створення/вибір і подання наборів даних для перевірки чи доведення тверджень;</w:t>
      </w:r>
    </w:p>
    <w:p w:rsidR="00940DA4" w:rsidRPr="00940DA4" w:rsidRDefault="00940DA4" w:rsidP="00940DA4">
      <w:pPr>
        <w:numPr>
          <w:ilvl w:val="0"/>
          <w:numId w:val="7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представлення даних, створення таблиць, схем, діаграм тощо з виконанням необхідних проміжних перетворень;</w:t>
      </w: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br/>
        <w:t>пояснення схем і діаграм систем реального та віртуального світу.</w:t>
      </w:r>
    </w:p>
    <w:p w:rsidR="00940DA4" w:rsidRPr="00940DA4" w:rsidRDefault="00940DA4" w:rsidP="00940DA4">
      <w:pPr>
        <w:spacing w:before="375" w:after="375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pict>
          <v:rect id="_x0000_i1026" style="width:0;height:0" o:hralign="center" o:hrstd="t" o:hr="t" fillcolor="#a0a0a0" stroked="f"/>
        </w:pic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1.3. Побудова інформаційних моделей об’єктів, явищ і процесів. 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До конкретних результатів навчання учнів відноситься вміння обирати істотні властивості об’єктів у контексті розв’язання життєвої/навчальної проблеми, використовувати та експериментувати з готовими чи створеними моделями для дослідження.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i/>
          <w:iCs/>
          <w:color w:val="333333"/>
          <w:sz w:val="26"/>
          <w:szCs w:val="26"/>
          <w:lang w:eastAsia="uk-UA"/>
        </w:rPr>
        <w:lastRenderedPageBreak/>
        <w:t>Орієнтирами для оцінювання результатів навчання є сформованість таких знань, умінь та навичок школярів: </w:t>
      </w:r>
    </w:p>
    <w:p w:rsidR="00940DA4" w:rsidRPr="00940DA4" w:rsidRDefault="00940DA4" w:rsidP="00940DA4">
      <w:pPr>
        <w:numPr>
          <w:ilvl w:val="0"/>
          <w:numId w:val="8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оцінка істотності/важливості/необхідності/адекватності інформації в контексті розв’язання життєвої/навчальної проблеми;</w:t>
      </w:r>
    </w:p>
    <w:p w:rsidR="00940DA4" w:rsidRPr="00940DA4" w:rsidRDefault="00940DA4" w:rsidP="00940DA4">
      <w:pPr>
        <w:numPr>
          <w:ilvl w:val="0"/>
          <w:numId w:val="8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вибір властивостей об’єктів, що є істотними для розв’язання задачі, і визначення їх допустимих значень;</w:t>
      </w:r>
    </w:p>
    <w:p w:rsidR="00940DA4" w:rsidRPr="00940DA4" w:rsidRDefault="00940DA4" w:rsidP="00940DA4">
      <w:pPr>
        <w:numPr>
          <w:ilvl w:val="0"/>
          <w:numId w:val="8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пояснення простих причинно-наслідкових зв’язків у готовій моделі з використанням шаблону «якщо, то», «що треба зробити, щоб»;</w:t>
      </w:r>
    </w:p>
    <w:p w:rsidR="00940DA4" w:rsidRPr="00940DA4" w:rsidRDefault="00940DA4" w:rsidP="00940DA4">
      <w:pPr>
        <w:numPr>
          <w:ilvl w:val="0"/>
          <w:numId w:val="8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планування та реалізація експерименту з готовими чи створеними моделями для підтвердження чи спростування гіпотези;</w:t>
      </w:r>
    </w:p>
    <w:p w:rsidR="00940DA4" w:rsidRPr="00940DA4" w:rsidRDefault="00940DA4" w:rsidP="00940DA4">
      <w:pPr>
        <w:numPr>
          <w:ilvl w:val="0"/>
          <w:numId w:val="8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формулювання висновків, наскільки отримані результати експерименту з моделлю відповідають гіпотезі/прогнозу.</w:t>
      </w:r>
    </w:p>
    <w:p w:rsidR="00940DA4" w:rsidRPr="00940DA4" w:rsidRDefault="00940DA4" w:rsidP="00940DA4">
      <w:pPr>
        <w:spacing w:before="375" w:after="375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pict>
          <v:rect id="_x0000_i1027" style="width:0;height:0" o:hralign="center" o:hrstd="t" o:hr="t" fillcolor="#a0a0a0" stroked="f"/>
        </w:pic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1.4. Критична оцінка інформації, отриманої з різних джерел.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Передбачається, що у ході адаптаційного циклу навчання учні навчаться пояснювати вплив джерел інформації на формування власних поглядів та інших точок зору, будувати власні судження про медіатексти, визначати достовірність інформації та надійність джерел.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i/>
          <w:iCs/>
          <w:color w:val="333333"/>
          <w:sz w:val="26"/>
          <w:szCs w:val="26"/>
          <w:lang w:eastAsia="uk-UA"/>
        </w:rPr>
        <w:t>Орієнтирами для оцінювання результатів навчання є сформованість таких знань, умінь та навичок школярів: </w:t>
      </w:r>
    </w:p>
    <w:p w:rsidR="00940DA4" w:rsidRPr="00940DA4" w:rsidRDefault="00940DA4" w:rsidP="00940DA4">
      <w:pPr>
        <w:numPr>
          <w:ilvl w:val="0"/>
          <w:numId w:val="9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розпізнавання фактів і суджень в інформаційних джерелах; </w:t>
      </w:r>
    </w:p>
    <w:p w:rsidR="00940DA4" w:rsidRPr="00940DA4" w:rsidRDefault="00940DA4" w:rsidP="00940DA4">
      <w:pPr>
        <w:numPr>
          <w:ilvl w:val="0"/>
          <w:numId w:val="9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порівняння інформації з різних джерел за заданими критеріями;</w:t>
      </w:r>
    </w:p>
    <w:p w:rsidR="00940DA4" w:rsidRPr="00940DA4" w:rsidRDefault="00940DA4" w:rsidP="00940DA4">
      <w:pPr>
        <w:numPr>
          <w:ilvl w:val="0"/>
          <w:numId w:val="9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наведення аргументів щодо надійності джерел і достовірності інформації в медіатекстах;</w:t>
      </w:r>
    </w:p>
    <w:p w:rsidR="00940DA4" w:rsidRPr="00940DA4" w:rsidRDefault="00940DA4" w:rsidP="00940DA4">
      <w:pPr>
        <w:numPr>
          <w:ilvl w:val="0"/>
          <w:numId w:val="9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використання запропонованих ресурсів для перевірки сумнівної інформації та надійності джерел.</w:t>
      </w:r>
    </w:p>
    <w:p w:rsidR="00940DA4" w:rsidRPr="00940DA4" w:rsidRDefault="00940DA4" w:rsidP="00940DA4">
      <w:pPr>
        <w:spacing w:before="375" w:after="188" w:line="240" w:lineRule="auto"/>
        <w:jc w:val="center"/>
        <w:outlineLvl w:val="2"/>
        <w:rPr>
          <w:rFonts w:ascii="inherit" w:eastAsia="Times New Roman" w:hAnsi="inherit" w:cs="Arial"/>
          <w:b/>
          <w:bCs/>
          <w:color w:val="333333"/>
          <w:sz w:val="40"/>
          <w:szCs w:val="40"/>
          <w:lang w:eastAsia="uk-UA"/>
        </w:rPr>
      </w:pPr>
      <w:r w:rsidRPr="00940DA4">
        <w:rPr>
          <w:rFonts w:ascii="inherit" w:eastAsia="Times New Roman" w:hAnsi="inherit" w:cs="Arial"/>
          <w:b/>
          <w:bCs/>
          <w:noProof/>
          <w:color w:val="333333"/>
          <w:sz w:val="40"/>
          <w:szCs w:val="40"/>
          <w:lang w:eastAsia="uk-UA"/>
        </w:rPr>
        <w:lastRenderedPageBreak/>
        <w:drawing>
          <wp:inline distT="0" distB="0" distL="0" distR="0" wp14:anchorId="59FF2B3C" wp14:editId="5EE54EE0">
            <wp:extent cx="5695950" cy="4210050"/>
            <wp:effectExtent l="0" t="0" r="0" b="0"/>
            <wp:docPr id="2" name="Рисунок 2" descr="https://naurok.com.ua/uploads/2022/%D0%96%D1%83%D1%80%D0%BD%D0%B0%D0%BB/programmin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aurok.com.ua/uploads/2022/%D0%96%D1%83%D1%80%D0%BD%D0%B0%D0%BB/programming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2. Створення інформаційних продуктів і програм для ефективного розв’язання задач/проблем, творчого самовираження (індивідуально і у співпраці) за допомогою цифрових пристроїв і без них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У цій групі компетентнісний потенціал галузі реалізується через такі загальні результати навчання учнів: 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2.1. Розробка та реалізація алгоритмів.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Держстандартом передбачено, що школярі мають навчитися розробляти та коригувати алгоритми для розв’язання задач.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i/>
          <w:iCs/>
          <w:color w:val="333333"/>
          <w:sz w:val="26"/>
          <w:szCs w:val="26"/>
          <w:lang w:eastAsia="uk-UA"/>
        </w:rPr>
        <w:t>Орієнтирами для оцінювання результатів навчання є сформованість таких знань, умінь та навичок школярів: </w:t>
      </w:r>
    </w:p>
    <w:p w:rsidR="00940DA4" w:rsidRPr="00940DA4" w:rsidRDefault="00940DA4" w:rsidP="00940DA4">
      <w:pPr>
        <w:numPr>
          <w:ilvl w:val="0"/>
          <w:numId w:val="10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складання лінійних, розгалужених і циклічних алгоритмів для розв’язання задач;</w:t>
      </w:r>
    </w:p>
    <w:p w:rsidR="00940DA4" w:rsidRPr="00940DA4" w:rsidRDefault="00940DA4" w:rsidP="00940DA4">
      <w:pPr>
        <w:numPr>
          <w:ilvl w:val="0"/>
          <w:numId w:val="10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представлення алгоритму одним чи кількома способами;</w:t>
      </w:r>
    </w:p>
    <w:p w:rsidR="00940DA4" w:rsidRPr="00940DA4" w:rsidRDefault="00940DA4" w:rsidP="00940DA4">
      <w:pPr>
        <w:numPr>
          <w:ilvl w:val="0"/>
          <w:numId w:val="10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поєднання базових структур для розв’язання задачі;</w:t>
      </w:r>
    </w:p>
    <w:p w:rsidR="00940DA4" w:rsidRPr="00940DA4" w:rsidRDefault="00940DA4" w:rsidP="00940DA4">
      <w:pPr>
        <w:numPr>
          <w:ilvl w:val="0"/>
          <w:numId w:val="10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пропонування та використання способів перевірки коректності алгоритму; </w:t>
      </w:r>
    </w:p>
    <w:p w:rsidR="00940DA4" w:rsidRPr="00940DA4" w:rsidRDefault="00940DA4" w:rsidP="00940DA4">
      <w:pPr>
        <w:numPr>
          <w:ilvl w:val="0"/>
          <w:numId w:val="10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пошук, пояснення та пропонування варіантів виправлення простих логічних помилок; </w:t>
      </w:r>
    </w:p>
    <w:p w:rsidR="00940DA4" w:rsidRPr="00940DA4" w:rsidRDefault="00940DA4" w:rsidP="00940DA4">
      <w:pPr>
        <w:numPr>
          <w:ilvl w:val="0"/>
          <w:numId w:val="10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lastRenderedPageBreak/>
        <w:t>формулювання висновку щодо відповідності алгоритму для розв’язання задачі.</w:t>
      </w:r>
    </w:p>
    <w:p w:rsidR="00940DA4" w:rsidRPr="00940DA4" w:rsidRDefault="00940DA4" w:rsidP="00940DA4">
      <w:pPr>
        <w:spacing w:before="375" w:after="375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pict>
          <v:rect id="_x0000_i1028" style="width:0;height:0" o:hralign="center" o:hrstd="t" o:hr="t" fillcolor="#a0a0a0" stroked="f"/>
        </w:pic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2.2. Створення та налагодження програмних проєктів.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Передбачається, що школярі навчаться складати та налагоджувати програмні проекти для розв’язання задач/проблем і творчого самовираження, виявляти наполегливість, коли стикаються з помилками і проблемами під час роботи над проєктом.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i/>
          <w:iCs/>
          <w:color w:val="333333"/>
          <w:sz w:val="26"/>
          <w:szCs w:val="26"/>
          <w:lang w:eastAsia="uk-UA"/>
        </w:rPr>
        <w:t>Орієнтирами для оцінювання результатів навчання є сформованість таких знань, умінь та навичок школярів: </w:t>
      </w:r>
    </w:p>
    <w:p w:rsidR="00940DA4" w:rsidRPr="00940DA4" w:rsidRDefault="00940DA4" w:rsidP="00940DA4">
      <w:pPr>
        <w:numPr>
          <w:ilvl w:val="0"/>
          <w:numId w:val="11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наведення прикладів виконавців і команд, які вони виконують;</w:t>
      </w:r>
    </w:p>
    <w:p w:rsidR="00940DA4" w:rsidRPr="00940DA4" w:rsidRDefault="00940DA4" w:rsidP="00940DA4">
      <w:pPr>
        <w:numPr>
          <w:ilvl w:val="0"/>
          <w:numId w:val="11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створення та виконання програмного проєкту у середовищі програмування (візуальне, блокове або інше); </w:t>
      </w:r>
    </w:p>
    <w:p w:rsidR="00940DA4" w:rsidRPr="00940DA4" w:rsidRDefault="00940DA4" w:rsidP="00940DA4">
      <w:pPr>
        <w:numPr>
          <w:ilvl w:val="0"/>
          <w:numId w:val="11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проведення перевірки роботи програмного проекту на заданих прикладах і формулювання висновків щодо коректності його роботи;</w:t>
      </w:r>
    </w:p>
    <w:p w:rsidR="00940DA4" w:rsidRPr="00940DA4" w:rsidRDefault="00940DA4" w:rsidP="00940DA4">
      <w:pPr>
        <w:numPr>
          <w:ilvl w:val="0"/>
          <w:numId w:val="11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пропонування власних способів перевірки правильності роботи проєкту;</w:t>
      </w:r>
    </w:p>
    <w:p w:rsidR="00940DA4" w:rsidRPr="00940DA4" w:rsidRDefault="00940DA4" w:rsidP="00940DA4">
      <w:pPr>
        <w:numPr>
          <w:ilvl w:val="0"/>
          <w:numId w:val="11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розпізнавання типових помилок, які виникають під час запуску програмного проекту, і пропонування способів їх усунення;</w:t>
      </w:r>
    </w:p>
    <w:p w:rsidR="00940DA4" w:rsidRPr="00940DA4" w:rsidRDefault="00940DA4" w:rsidP="00940DA4">
      <w:pPr>
        <w:numPr>
          <w:ilvl w:val="0"/>
          <w:numId w:val="11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докладання зусиль і виявлення гнучкості за допомогою доступних ресурсів і стратегій для подолання перешкод і розв’язання проблем під час реалізації програмних проєктів;</w:t>
      </w:r>
    </w:p>
    <w:p w:rsidR="00940DA4" w:rsidRPr="00940DA4" w:rsidRDefault="00940DA4" w:rsidP="00940DA4">
      <w:pPr>
        <w:numPr>
          <w:ilvl w:val="0"/>
          <w:numId w:val="11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прогнозування зміни результату роботи проєкту внаслідок внесених змін.</w:t>
      </w:r>
    </w:p>
    <w:p w:rsidR="00940DA4" w:rsidRPr="00940DA4" w:rsidRDefault="00940DA4" w:rsidP="00940DA4">
      <w:pPr>
        <w:spacing w:before="375" w:after="375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pict>
          <v:rect id="_x0000_i1029" style="width:0;height:0" o:hralign="center" o:hrstd="t" o:hr="t" fillcolor="#a0a0a0" stroked="f"/>
        </w:pic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2.3. Розроблення модульних проєктів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Навчальний прогрес характеризується тим, що учні вміють розділяти задачу на підзадачі та розв’язувати їх, комбінуючи проект із блоків команд.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i/>
          <w:iCs/>
          <w:color w:val="333333"/>
          <w:sz w:val="26"/>
          <w:szCs w:val="26"/>
          <w:lang w:eastAsia="uk-UA"/>
        </w:rPr>
        <w:t>Орієнтирами для оцінювання результатів навчання є сформованість таких знань, умінь та навичок школярів: </w:t>
      </w:r>
    </w:p>
    <w:p w:rsidR="00940DA4" w:rsidRPr="00940DA4" w:rsidRDefault="00940DA4" w:rsidP="00940DA4">
      <w:pPr>
        <w:numPr>
          <w:ilvl w:val="0"/>
          <w:numId w:val="12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складання списку підзадач для розв’язання великої або складної задачі;</w:t>
      </w:r>
    </w:p>
    <w:p w:rsidR="00940DA4" w:rsidRPr="00940DA4" w:rsidRDefault="00940DA4" w:rsidP="00940DA4">
      <w:pPr>
        <w:numPr>
          <w:ilvl w:val="0"/>
          <w:numId w:val="12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визначення функціоналу окремих частин проєкту;</w:t>
      </w:r>
    </w:p>
    <w:p w:rsidR="00940DA4" w:rsidRPr="00940DA4" w:rsidRDefault="00940DA4" w:rsidP="00940DA4">
      <w:pPr>
        <w:numPr>
          <w:ilvl w:val="0"/>
          <w:numId w:val="12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складання проєкту з розв’язання окремих підзадач; </w:t>
      </w:r>
    </w:p>
    <w:p w:rsidR="00940DA4" w:rsidRPr="00940DA4" w:rsidRDefault="00940DA4" w:rsidP="00940DA4">
      <w:pPr>
        <w:numPr>
          <w:ilvl w:val="0"/>
          <w:numId w:val="12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узгодження взаємодії окремих підзадач у модульному проекті.</w:t>
      </w:r>
    </w:p>
    <w:p w:rsidR="00940DA4" w:rsidRPr="00940DA4" w:rsidRDefault="00940DA4" w:rsidP="00940DA4">
      <w:pPr>
        <w:spacing w:before="375" w:after="375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lastRenderedPageBreak/>
        <w:pict>
          <v:rect id="_x0000_i1030" style="width:0;height:0" o:hralign="center" o:hrstd="t" o:hr="t" fillcolor="#a0a0a0" stroked="f"/>
        </w:pic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</w:t>
      </w:r>
      <w:r w:rsidRPr="00940DA4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2.4. Створення та опрацювання інформаційних продуктів із використанням даних різних типів.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Конкретними результатами навчання є вміння учнів оцінювати власні можливості і доступні ресурси для створення інформаційних продуктів з метою розв’язання життєвих/навчальних проблем, створювати інформаційні продукти та оцінювати їхню якість за вказаними критеріями.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i/>
          <w:iCs/>
          <w:color w:val="333333"/>
          <w:sz w:val="26"/>
          <w:szCs w:val="26"/>
          <w:lang w:eastAsia="uk-UA"/>
        </w:rPr>
        <w:t>Орієнтирами для оцінювання результатів навчання є сформованість таких знань, умінь та навичок школярів: </w:t>
      </w:r>
    </w:p>
    <w:p w:rsidR="00940DA4" w:rsidRPr="00940DA4" w:rsidRDefault="00940DA4" w:rsidP="00940DA4">
      <w:pPr>
        <w:numPr>
          <w:ilvl w:val="0"/>
          <w:numId w:val="13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розпізнавання та реалізація можливостей для створення інформаційних продуктів у контексті розв’язання життєвої/навчальної проблеми; </w:t>
      </w:r>
    </w:p>
    <w:p w:rsidR="00940DA4" w:rsidRPr="00940DA4" w:rsidRDefault="00940DA4" w:rsidP="00940DA4">
      <w:pPr>
        <w:numPr>
          <w:ilvl w:val="0"/>
          <w:numId w:val="13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наведення прикладів різних програмних засобів для опрацювання даних, порівняння їх за заданими критеріями та пояснення вибору потрібних; </w:t>
      </w:r>
    </w:p>
    <w:p w:rsidR="00940DA4" w:rsidRPr="00940DA4" w:rsidRDefault="00940DA4" w:rsidP="00940DA4">
      <w:pPr>
        <w:numPr>
          <w:ilvl w:val="0"/>
          <w:numId w:val="13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використання даних різних типів (принаймні трьох з наведених: текстові, графічні, числові, мультимедійні) для створення інформаційних продуктів;</w:t>
      </w:r>
    </w:p>
    <w:p w:rsidR="00940DA4" w:rsidRPr="00940DA4" w:rsidRDefault="00940DA4" w:rsidP="00940DA4">
      <w:pPr>
        <w:numPr>
          <w:ilvl w:val="0"/>
          <w:numId w:val="13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створення, редагування та форматування об’єктів текстового документа, підготовка його до друку;</w:t>
      </w:r>
    </w:p>
    <w:p w:rsidR="00940DA4" w:rsidRPr="00940DA4" w:rsidRDefault="00940DA4" w:rsidP="00940DA4">
      <w:pPr>
        <w:numPr>
          <w:ilvl w:val="0"/>
          <w:numId w:val="13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вибір і застосування засобів для побудови малюнка в одному з графічних редакторів; </w:t>
      </w:r>
    </w:p>
    <w:p w:rsidR="00940DA4" w:rsidRPr="00940DA4" w:rsidRDefault="00940DA4" w:rsidP="00940DA4">
      <w:pPr>
        <w:numPr>
          <w:ilvl w:val="0"/>
          <w:numId w:val="13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використання програмного забезпечення для простих розрахунків і візуалізації результатів; </w:t>
      </w:r>
    </w:p>
    <w:p w:rsidR="00940DA4" w:rsidRPr="00940DA4" w:rsidRDefault="00940DA4" w:rsidP="00940DA4">
      <w:pPr>
        <w:numPr>
          <w:ilvl w:val="0"/>
          <w:numId w:val="13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створення мультимедійних презентацій;</w:t>
      </w:r>
    </w:p>
    <w:p w:rsidR="00940DA4" w:rsidRPr="00940DA4" w:rsidRDefault="00940DA4" w:rsidP="00940DA4">
      <w:pPr>
        <w:numPr>
          <w:ilvl w:val="0"/>
          <w:numId w:val="13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дотримання критеріїв оформлення та якості інформаційних продуктів;</w:t>
      </w:r>
    </w:p>
    <w:p w:rsidR="00940DA4" w:rsidRPr="00940DA4" w:rsidRDefault="00940DA4" w:rsidP="00940DA4">
      <w:pPr>
        <w:numPr>
          <w:ilvl w:val="0"/>
          <w:numId w:val="13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опис власної діяльності та набутого досвіду під час створення інформаційного продукту.</w:t>
      </w:r>
    </w:p>
    <w:p w:rsidR="00940DA4" w:rsidRPr="00940DA4" w:rsidRDefault="00940DA4" w:rsidP="00940DA4">
      <w:pPr>
        <w:spacing w:before="375" w:after="375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pict>
          <v:rect id="_x0000_i1031" style="width:0;height:0" o:hralign="center" o:hrstd="t" o:hr="t" fillcolor="#a0a0a0" stroked="f"/>
        </w:pic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2.5. Співпраця в команді для створення інформаційного продукту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Держстандартом передбачено, що учні навчаться складати план виконання своєї роботи зі створення інформаційного продукту у групі, пояснювати роль членів команди і користь співробітництва для виконання спільного завдання, коментувати свою й чужу діяльність та за потреби надавати конструктивні відгуки.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i/>
          <w:iCs/>
          <w:color w:val="333333"/>
          <w:sz w:val="26"/>
          <w:szCs w:val="26"/>
          <w:lang w:eastAsia="uk-UA"/>
        </w:rPr>
        <w:lastRenderedPageBreak/>
        <w:t>Орієнтирами для оцінювання результатів навчання є сформованість таких знань, умінь та навичок школярів: </w:t>
      </w:r>
    </w:p>
    <w:p w:rsidR="00940DA4" w:rsidRPr="00940DA4" w:rsidRDefault="00940DA4" w:rsidP="00940DA4">
      <w:pPr>
        <w:numPr>
          <w:ilvl w:val="0"/>
          <w:numId w:val="14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участь у спільному проекті (онлайн та офлайн) зі створення інформаційних продуктів для реалізації власних і суспільних інтересів;</w:t>
      </w:r>
    </w:p>
    <w:p w:rsidR="00940DA4" w:rsidRPr="00940DA4" w:rsidRDefault="00940DA4" w:rsidP="00940DA4">
      <w:pPr>
        <w:numPr>
          <w:ilvl w:val="0"/>
          <w:numId w:val="14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планування роботи перед виконанням завдання і за потреби внесення коректив в план під час виконання завдання;</w:t>
      </w:r>
    </w:p>
    <w:p w:rsidR="00940DA4" w:rsidRPr="00940DA4" w:rsidRDefault="00940DA4" w:rsidP="00940DA4">
      <w:pPr>
        <w:numPr>
          <w:ilvl w:val="0"/>
          <w:numId w:val="14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пояснення, розподіл і відповідальне виконання ролі групової взаємодії під час розроблення проєкту;</w:t>
      </w:r>
    </w:p>
    <w:p w:rsidR="00940DA4" w:rsidRPr="00940DA4" w:rsidRDefault="00940DA4" w:rsidP="00940DA4">
      <w:pPr>
        <w:numPr>
          <w:ilvl w:val="0"/>
          <w:numId w:val="14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пропонування та дотримання правил взаємодії і прийняття спільних рішень під час створення колективного проєкту;</w:t>
      </w:r>
    </w:p>
    <w:p w:rsidR="00940DA4" w:rsidRPr="00940DA4" w:rsidRDefault="00940DA4" w:rsidP="00940DA4">
      <w:pPr>
        <w:numPr>
          <w:ilvl w:val="0"/>
          <w:numId w:val="14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наведення прикладів переваги конструктивної співпраці; </w:t>
      </w:r>
    </w:p>
    <w:p w:rsidR="00940DA4" w:rsidRPr="00940DA4" w:rsidRDefault="00940DA4" w:rsidP="00940DA4">
      <w:pPr>
        <w:numPr>
          <w:ilvl w:val="0"/>
          <w:numId w:val="14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пропонування допомоги іншим особам у разі потреби; </w:t>
      </w:r>
    </w:p>
    <w:p w:rsidR="00940DA4" w:rsidRPr="00940DA4" w:rsidRDefault="00940DA4" w:rsidP="00940DA4">
      <w:pPr>
        <w:numPr>
          <w:ilvl w:val="0"/>
          <w:numId w:val="14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участь у представленні результатів групової роботи; </w:t>
      </w:r>
    </w:p>
    <w:p w:rsidR="00940DA4" w:rsidRPr="00940DA4" w:rsidRDefault="00940DA4" w:rsidP="00940DA4">
      <w:pPr>
        <w:numPr>
          <w:ilvl w:val="0"/>
          <w:numId w:val="14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опис впливу власних думок, емоцій і настрою на власну діяльність і результат роботи (власний і групи); </w:t>
      </w:r>
    </w:p>
    <w:p w:rsidR="00940DA4" w:rsidRPr="00940DA4" w:rsidRDefault="00940DA4" w:rsidP="00940DA4">
      <w:pPr>
        <w:numPr>
          <w:ilvl w:val="0"/>
          <w:numId w:val="14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надання доброзичливих і конструктивних порад щодо вдосконалення процесу та/чи результату спільної роботи; </w:t>
      </w: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br/>
        <w:t>опис власної діяльності як члена групи і набутого досвіду.</w:t>
      </w:r>
    </w:p>
    <w:p w:rsidR="00940DA4" w:rsidRPr="00940DA4" w:rsidRDefault="00940DA4" w:rsidP="00940DA4">
      <w:pPr>
        <w:spacing w:before="375" w:after="188" w:line="240" w:lineRule="auto"/>
        <w:jc w:val="center"/>
        <w:outlineLvl w:val="2"/>
        <w:rPr>
          <w:rFonts w:ascii="inherit" w:eastAsia="Times New Roman" w:hAnsi="inherit" w:cs="Arial"/>
          <w:b/>
          <w:bCs/>
          <w:color w:val="333333"/>
          <w:sz w:val="40"/>
          <w:szCs w:val="40"/>
          <w:lang w:eastAsia="uk-UA"/>
        </w:rPr>
      </w:pPr>
      <w:r w:rsidRPr="00940DA4">
        <w:rPr>
          <w:rFonts w:ascii="inherit" w:eastAsia="Times New Roman" w:hAnsi="inherit" w:cs="Arial"/>
          <w:b/>
          <w:bCs/>
          <w:noProof/>
          <w:color w:val="333333"/>
          <w:sz w:val="40"/>
          <w:szCs w:val="40"/>
          <w:lang w:eastAsia="uk-UA"/>
        </w:rPr>
        <w:drawing>
          <wp:inline distT="0" distB="0" distL="0" distR="0" wp14:anchorId="4887ECDF" wp14:editId="0FAB6579">
            <wp:extent cx="5524500" cy="3276600"/>
            <wp:effectExtent l="0" t="0" r="0" b="0"/>
            <wp:docPr id="3" name="Рисунок 3" descr="https://naurok.com.ua/uploads/2022/%D0%96%D1%83%D1%80%D0%BD%D0%B0%D0%BB/19199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aurok.com.ua/uploads/2022/%D0%96%D1%83%D1%80%D0%BD%D0%B0%D0%BB/1919965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3. Усвідомлене використання інформаційних і комунікаційних технологій та цифрових пристроїв для доступу до інформації, спілкування та співпраці як творця та/або споживача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У цій групі компетентнісний потенціал галузі реалізується через такі загальні результати навчання учнів: 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lastRenderedPageBreak/>
        <w:t>3.1. Використання широкого спектру цифрових пристроїв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До конкретних результатів навчання учнів відноситься розуміння призначення, можливостей та обмежень цифрових пристроїв різного типу й використання їх для власних потреб у навчанні і житті.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i/>
          <w:iCs/>
          <w:color w:val="333333"/>
          <w:sz w:val="26"/>
          <w:szCs w:val="26"/>
          <w:lang w:eastAsia="uk-UA"/>
        </w:rPr>
        <w:t>Орієнтирами для оцінювання результатів навчання є сформованість таких знань, умінь та навичок школярів: </w:t>
      </w:r>
    </w:p>
    <w:p w:rsidR="00940DA4" w:rsidRPr="00940DA4" w:rsidRDefault="00940DA4" w:rsidP="00940DA4">
      <w:pPr>
        <w:numPr>
          <w:ilvl w:val="0"/>
          <w:numId w:val="15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виділення груп цифрових пристроїв за їх функціями і призначенням; </w:t>
      </w:r>
    </w:p>
    <w:p w:rsidR="00940DA4" w:rsidRPr="00940DA4" w:rsidRDefault="00940DA4" w:rsidP="00940DA4">
      <w:pPr>
        <w:numPr>
          <w:ilvl w:val="0"/>
          <w:numId w:val="15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знання складових комп’ютера та їх призначення, опис їхньої взаємодії, основних характеристик, можливостей та обмежень; </w:t>
      </w:r>
    </w:p>
    <w:p w:rsidR="00940DA4" w:rsidRPr="00940DA4" w:rsidRDefault="00940DA4" w:rsidP="00940DA4">
      <w:pPr>
        <w:numPr>
          <w:ilvl w:val="0"/>
          <w:numId w:val="15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демонстрація належного рівня навичок роботи з клавіатурою та іншими пристроями введення та виведення даних;</w:t>
      </w:r>
    </w:p>
    <w:p w:rsidR="00940DA4" w:rsidRPr="00940DA4" w:rsidRDefault="00940DA4" w:rsidP="00940DA4">
      <w:pPr>
        <w:numPr>
          <w:ilvl w:val="0"/>
          <w:numId w:val="15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опис взаємозв’язку програмного забезпечення комп’ютера з апаратною складовою; </w:t>
      </w:r>
    </w:p>
    <w:p w:rsidR="00940DA4" w:rsidRPr="00940DA4" w:rsidRDefault="00940DA4" w:rsidP="00940DA4">
      <w:pPr>
        <w:numPr>
          <w:ilvl w:val="0"/>
          <w:numId w:val="15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пояснення призначення операційної системи та прикладного програмного забезпечення; </w:t>
      </w:r>
    </w:p>
    <w:p w:rsidR="00940DA4" w:rsidRPr="00940DA4" w:rsidRDefault="00940DA4" w:rsidP="00940DA4">
      <w:pPr>
        <w:numPr>
          <w:ilvl w:val="0"/>
          <w:numId w:val="15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моделювання роботи простої інформаційної системи.</w:t>
      </w:r>
    </w:p>
    <w:p w:rsidR="00940DA4" w:rsidRPr="00940DA4" w:rsidRDefault="00940DA4" w:rsidP="00940DA4">
      <w:pPr>
        <w:spacing w:before="375" w:after="375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pict>
          <v:rect id="_x0000_i1032" style="width:0;height:0" o:hralign="center" o:hrstd="t" o:hr="t" fillcolor="#a0a0a0" stroked="f"/>
        </w:pic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3.2. Організація власного інформаційного середовища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Передбачається, що у ході адаптаційного циклу навчання учні навчаться організовувати власне інформаційне середовище на основі доступних пристроїв і технологій, налаштовувати програмні та апаратні засоби залежно від власних потреб.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i/>
          <w:iCs/>
          <w:color w:val="333333"/>
          <w:sz w:val="26"/>
          <w:szCs w:val="26"/>
          <w:lang w:eastAsia="uk-UA"/>
        </w:rPr>
        <w:t>Орієнтирами для оцінювання результатів навчання є сформованість таких знань, умінь та навичок школярів: </w:t>
      </w:r>
    </w:p>
    <w:p w:rsidR="00940DA4" w:rsidRPr="00940DA4" w:rsidRDefault="00940DA4" w:rsidP="00940DA4">
      <w:pPr>
        <w:numPr>
          <w:ilvl w:val="0"/>
          <w:numId w:val="16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формулювання власних потреб і вимог до цифрових інструментів і можливих технологічних рішень; </w:t>
      </w:r>
    </w:p>
    <w:p w:rsidR="00940DA4" w:rsidRPr="00940DA4" w:rsidRDefault="00940DA4" w:rsidP="00940DA4">
      <w:pPr>
        <w:numPr>
          <w:ilvl w:val="0"/>
          <w:numId w:val="16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розпізнавання змін інтерфейсу програмного середовища, оновлення цифрових пристроїв та адаптація до них; </w:t>
      </w:r>
    </w:p>
    <w:p w:rsidR="00940DA4" w:rsidRPr="00940DA4" w:rsidRDefault="00940DA4" w:rsidP="00940DA4">
      <w:pPr>
        <w:numPr>
          <w:ilvl w:val="0"/>
          <w:numId w:val="16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наведення прикладів наслідків/ризиків встановлення та використання програмного забезпечення; </w:t>
      </w:r>
    </w:p>
    <w:p w:rsidR="00940DA4" w:rsidRPr="00940DA4" w:rsidRDefault="00940DA4" w:rsidP="00940DA4">
      <w:pPr>
        <w:numPr>
          <w:ilvl w:val="0"/>
          <w:numId w:val="16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розрізнення та формулювання простих апаратних і програмних проблем у власному інформаційному середовищі, пропонування способів їх розв’язання. </w:t>
      </w:r>
    </w:p>
    <w:p w:rsidR="00940DA4" w:rsidRPr="00940DA4" w:rsidRDefault="00940DA4" w:rsidP="00940DA4">
      <w:pPr>
        <w:spacing w:before="375" w:after="375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lastRenderedPageBreak/>
        <w:pict>
          <v:rect id="_x0000_i1033" style="width:0;height:0" o:hralign="center" o:hrstd="t" o:hr="t" fillcolor="#a0a0a0" stroked="f"/>
        </w:pic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3.3. Використання комунікаційних технологій та мережі для власного розвитку, спілкування і співпраці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Конкретним результатом навчання учнів є використання онлайн-сервісів та онлайн-ресурсів для індивідуальної або групової діяльності та комунікації.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i/>
          <w:iCs/>
          <w:color w:val="333333"/>
          <w:sz w:val="26"/>
          <w:szCs w:val="26"/>
          <w:lang w:eastAsia="uk-UA"/>
        </w:rPr>
        <w:t>Орієнтирами для оцінювання результатів навчання є сформованість таких знань, умінь та навичок школярів: </w:t>
      </w:r>
    </w:p>
    <w:p w:rsidR="00940DA4" w:rsidRPr="00940DA4" w:rsidRDefault="00940DA4" w:rsidP="00940DA4">
      <w:pPr>
        <w:numPr>
          <w:ilvl w:val="0"/>
          <w:numId w:val="17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наведення прикладів застосування і побудови локальних мереж та організації доступу до Інтернету; </w:t>
      </w:r>
    </w:p>
    <w:p w:rsidR="00940DA4" w:rsidRPr="00940DA4" w:rsidRDefault="00940DA4" w:rsidP="00940DA4">
      <w:pPr>
        <w:numPr>
          <w:ilvl w:val="0"/>
          <w:numId w:val="17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наведення прикладів онлайн-сервісів та їхніх можливостей; </w:t>
      </w:r>
    </w:p>
    <w:p w:rsidR="00940DA4" w:rsidRPr="00940DA4" w:rsidRDefault="00940DA4" w:rsidP="00940DA4">
      <w:pPr>
        <w:numPr>
          <w:ilvl w:val="0"/>
          <w:numId w:val="17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вибір актуальних і безпечних засобів і способів комунікації для себе і пропонування їх іншим особам; </w:t>
      </w:r>
    </w:p>
    <w:p w:rsidR="00940DA4" w:rsidRPr="00940DA4" w:rsidRDefault="00940DA4" w:rsidP="00940DA4">
      <w:pPr>
        <w:numPr>
          <w:ilvl w:val="0"/>
          <w:numId w:val="17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використання онлайн-ресурсів для доступу до інформації, спілкування, навчання, задоволення власних інтересів чи участі в суспільній діяльності;</w:t>
      </w:r>
    </w:p>
    <w:p w:rsidR="00940DA4" w:rsidRPr="00940DA4" w:rsidRDefault="00940DA4" w:rsidP="00940DA4">
      <w:pPr>
        <w:numPr>
          <w:ilvl w:val="0"/>
          <w:numId w:val="17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пояснення переваг і недоліків цифрової комунікації.</w:t>
      </w:r>
    </w:p>
    <w:p w:rsidR="00940DA4" w:rsidRPr="00940DA4" w:rsidRDefault="00940DA4" w:rsidP="00940DA4">
      <w:pPr>
        <w:spacing w:before="375" w:after="188" w:line="240" w:lineRule="auto"/>
        <w:jc w:val="center"/>
        <w:outlineLvl w:val="2"/>
        <w:rPr>
          <w:rFonts w:ascii="inherit" w:eastAsia="Times New Roman" w:hAnsi="inherit" w:cs="Arial"/>
          <w:b/>
          <w:bCs/>
          <w:color w:val="333333"/>
          <w:sz w:val="40"/>
          <w:szCs w:val="40"/>
          <w:lang w:eastAsia="uk-UA"/>
        </w:rPr>
      </w:pPr>
      <w:r w:rsidRPr="00940DA4">
        <w:rPr>
          <w:rFonts w:ascii="inherit" w:eastAsia="Times New Roman" w:hAnsi="inherit" w:cs="Arial"/>
          <w:b/>
          <w:bCs/>
          <w:noProof/>
          <w:color w:val="333333"/>
          <w:sz w:val="40"/>
          <w:szCs w:val="40"/>
          <w:lang w:eastAsia="uk-UA"/>
        </w:rPr>
        <w:lastRenderedPageBreak/>
        <w:drawing>
          <wp:inline distT="0" distB="0" distL="0" distR="0" wp14:anchorId="7BBA7223" wp14:editId="3671CBE1">
            <wp:extent cx="5524500" cy="5200650"/>
            <wp:effectExtent l="0" t="0" r="0" b="0"/>
            <wp:docPr id="4" name="Рисунок 4" descr="https://naurok.com.ua/uploads/2022/%D0%96%D1%83%D1%80%D0%BD%D0%B0%D0%BB/4855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aurok.com.ua/uploads/2022/%D0%96%D1%83%D1%80%D0%BD%D0%B0%D0%BB/485563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4. Усвідомлення результатів використання інформаційних технологій для себе, суспільства, навколишнього середовища і сталого розвитку суспільства, дотримання етичних і правових норм інформаційної взаємодії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У цій групі компетентнісний потенціал галузі реалізується через такі загальні результати навчання учнів: 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4.1. Обґрунтування впливу технологій на навколишнє середовище і власний добробут, захист себе і свого інформаційного простору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Конкретними результатами навчання учнів є вміння описувати вплив цифрових технологій на навколишнє середовище і добробут суспільства, дотримуватися правил кібербезпеки, розрізняти себе в реальному та віртуальному світі, передбачати власний «цифровий слід».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i/>
          <w:iCs/>
          <w:color w:val="333333"/>
          <w:sz w:val="26"/>
          <w:szCs w:val="26"/>
          <w:lang w:eastAsia="uk-UA"/>
        </w:rPr>
        <w:t>Орієнтирами для оцінювання результатів навчання є сформованість таких знань, умінь та навичок школярів: </w:t>
      </w:r>
    </w:p>
    <w:p w:rsidR="00940DA4" w:rsidRPr="00940DA4" w:rsidRDefault="00940DA4" w:rsidP="00940DA4">
      <w:pPr>
        <w:numPr>
          <w:ilvl w:val="0"/>
          <w:numId w:val="18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lastRenderedPageBreak/>
        <w:t>наведення прикладів переваг і небезпек використання цифрових технологій для навколишнього середовища і добробуту у знайомих ситуаціях; </w:t>
      </w:r>
    </w:p>
    <w:p w:rsidR="00940DA4" w:rsidRPr="00940DA4" w:rsidRDefault="00940DA4" w:rsidP="00940DA4">
      <w:pPr>
        <w:numPr>
          <w:ilvl w:val="0"/>
          <w:numId w:val="18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розуміння важливості балансу між екранним часом і власним добробутом; </w:t>
      </w:r>
    </w:p>
    <w:p w:rsidR="00940DA4" w:rsidRPr="00940DA4" w:rsidRDefault="00940DA4" w:rsidP="00940DA4">
      <w:pPr>
        <w:numPr>
          <w:ilvl w:val="0"/>
          <w:numId w:val="18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розрізнення інформаційного «сміття» цифрового та нецифрового формату; </w:t>
      </w:r>
    </w:p>
    <w:p w:rsidR="00940DA4" w:rsidRPr="00940DA4" w:rsidRDefault="00940DA4" w:rsidP="00940DA4">
      <w:pPr>
        <w:numPr>
          <w:ilvl w:val="0"/>
          <w:numId w:val="18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наведення прикладів і застосування заходів безпеки та захисту особистого інформаційного простору, пристроїв і даних; </w:t>
      </w:r>
    </w:p>
    <w:p w:rsidR="00940DA4" w:rsidRPr="00940DA4" w:rsidRDefault="00940DA4" w:rsidP="00940DA4">
      <w:pPr>
        <w:numPr>
          <w:ilvl w:val="0"/>
          <w:numId w:val="18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створення та використання надійних паролів; </w:t>
      </w:r>
    </w:p>
    <w:p w:rsidR="00940DA4" w:rsidRPr="00940DA4" w:rsidRDefault="00940DA4" w:rsidP="00940DA4">
      <w:pPr>
        <w:numPr>
          <w:ilvl w:val="0"/>
          <w:numId w:val="18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нерозголошення конфіденційних даних про себе та інших осіб; </w:t>
      </w:r>
    </w:p>
    <w:p w:rsidR="00940DA4" w:rsidRPr="00940DA4" w:rsidRDefault="00940DA4" w:rsidP="00940DA4">
      <w:pPr>
        <w:numPr>
          <w:ilvl w:val="0"/>
          <w:numId w:val="18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пояснення, що таке «цифровий слід» та онлайн-репутація, відповідальне формування їх у себе.</w:t>
      </w:r>
    </w:p>
    <w:p w:rsidR="00940DA4" w:rsidRPr="00940DA4" w:rsidRDefault="00940DA4" w:rsidP="00940DA4">
      <w:pPr>
        <w:spacing w:before="375" w:after="375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pict>
          <v:rect id="_x0000_i1034" style="width:0;height:0" o:hralign="center" o:hrstd="t" o:hr="t" fillcolor="#a0a0a0" stroked="f"/>
        </w:pic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4.2. Усвідомлене дотримання норм соціальної, міжкультурної і міжособистісної взаємодії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Держстандартом передбачено, що школярі мають навчитися дотримуватися правил етикету спілкування у цифрових мережах, розширювати спектр засобів і способів комунікації з урахуванням своїх потреб та інших осіб.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i/>
          <w:iCs/>
          <w:color w:val="333333"/>
          <w:sz w:val="26"/>
          <w:szCs w:val="26"/>
          <w:lang w:eastAsia="uk-UA"/>
        </w:rPr>
        <w:t>Орієнтирами для оцінювання результатів навчання є сформованість таких знань, умінь та навичок школярів: </w:t>
      </w:r>
    </w:p>
    <w:p w:rsidR="00940DA4" w:rsidRPr="00940DA4" w:rsidRDefault="00940DA4" w:rsidP="00940DA4">
      <w:pPr>
        <w:numPr>
          <w:ilvl w:val="0"/>
          <w:numId w:val="19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пояснення та дотримання правил етикету  спілкування у цифрових мережах; </w:t>
      </w:r>
    </w:p>
    <w:p w:rsidR="00940DA4" w:rsidRPr="00940DA4" w:rsidRDefault="00940DA4" w:rsidP="00940DA4">
      <w:pPr>
        <w:numPr>
          <w:ilvl w:val="0"/>
          <w:numId w:val="19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розпізнавання небезпечних віртуальних спільнот; </w:t>
      </w:r>
    </w:p>
    <w:p w:rsidR="00940DA4" w:rsidRPr="00940DA4" w:rsidRDefault="00940DA4" w:rsidP="00940DA4">
      <w:pPr>
        <w:numPr>
          <w:ilvl w:val="0"/>
          <w:numId w:val="19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розпізнавання небезпечних/конфліктних ситуацій під час онлайн-спілкування (зокрема внаслідок негативних чи зневажливих дописів), знання, до кого звернутися за допомогою у разі їх виникнення;</w:t>
      </w:r>
    </w:p>
    <w:p w:rsidR="00940DA4" w:rsidRPr="00940DA4" w:rsidRDefault="00940DA4" w:rsidP="00940DA4">
      <w:pPr>
        <w:numPr>
          <w:ilvl w:val="0"/>
          <w:numId w:val="19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створення повідомлень на доступних ресурсах, додержання правил і врахування соціальних, культурних та інших особливостей учасників онлайн-комунікації; </w:t>
      </w:r>
    </w:p>
    <w:p w:rsidR="00940DA4" w:rsidRPr="00940DA4" w:rsidRDefault="00940DA4" w:rsidP="00940DA4">
      <w:pPr>
        <w:numPr>
          <w:ilvl w:val="0"/>
          <w:numId w:val="19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наведення прикладів підвищення доступності цифрових пристроїв для різних категорій користувачів і пропонування за потреби ці рішення; </w:t>
      </w:r>
    </w:p>
    <w:p w:rsidR="00940DA4" w:rsidRPr="00940DA4" w:rsidRDefault="00940DA4" w:rsidP="00940DA4">
      <w:pPr>
        <w:numPr>
          <w:ilvl w:val="0"/>
          <w:numId w:val="19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зацікавлення новинками засобів і способів комунікації, розповідь про них.</w:t>
      </w:r>
    </w:p>
    <w:p w:rsidR="00940DA4" w:rsidRPr="00940DA4" w:rsidRDefault="00940DA4" w:rsidP="00940DA4">
      <w:pPr>
        <w:spacing w:before="375" w:after="375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pict>
          <v:rect id="_x0000_i1035" style="width:0;height:0" o:hralign="center" o:hrstd="t" o:hr="t" fillcolor="#a0a0a0" stroked="f"/>
        </w:pic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lastRenderedPageBreak/>
        <w:t>4.3. Усвідомлене дотримання норм правової взаємодії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Конкретними результатами навчання учнів визначено дотримання ними авторських прав і врахування різних типів дозволів на використання інформаційних ресурсів у роботі та творчості.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i/>
          <w:iCs/>
          <w:color w:val="333333"/>
          <w:sz w:val="26"/>
          <w:szCs w:val="26"/>
          <w:lang w:eastAsia="uk-UA"/>
        </w:rPr>
        <w:t>Орієнтирами для оцінювання результатів навчання є сформованість таких знань, умінь та навичок школярів: </w:t>
      </w:r>
    </w:p>
    <w:p w:rsidR="00940DA4" w:rsidRPr="00940DA4" w:rsidRDefault="00940DA4" w:rsidP="00940DA4">
      <w:pPr>
        <w:numPr>
          <w:ilvl w:val="0"/>
          <w:numId w:val="20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пояснення важливості дотримання принципів академічної  доброчесності та авторського права в інформаційній діяльності; </w:t>
      </w:r>
    </w:p>
    <w:p w:rsidR="00940DA4" w:rsidRPr="00940DA4" w:rsidRDefault="00940DA4" w:rsidP="00940DA4">
      <w:pPr>
        <w:numPr>
          <w:ilvl w:val="0"/>
          <w:numId w:val="20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зазначення джерел, використаних у своїх роботах. </w:t>
      </w:r>
    </w:p>
    <w:p w:rsidR="00940DA4" w:rsidRPr="00940DA4" w:rsidRDefault="00940DA4" w:rsidP="00940DA4">
      <w:pPr>
        <w:spacing w:after="150" w:line="384" w:lineRule="atLeast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Бажаєте дізнатися, як перетворити уроки інформатики на активну проєктну діяльність, що неодмінно сподобається школярам, та отримати багато цікавих кейсів та практичних порад? Реєструйтеся на онлайн-курс </w:t>
      </w:r>
      <w:hyperlink r:id="rId11" w:tgtFrame="_blank" w:history="1">
        <w:r w:rsidRPr="00940DA4">
          <w:rPr>
            <w:rFonts w:ascii="Arial" w:eastAsia="Times New Roman" w:hAnsi="Arial" w:cs="Arial"/>
            <w:color w:val="2979FF"/>
            <w:sz w:val="26"/>
            <w:szCs w:val="26"/>
            <w:lang w:eastAsia="uk-UA"/>
          </w:rPr>
          <w:t>«Цікаве програмування: створення онлайн-проєктів із використанням одноплатних мікрокомп’ютерів BBC micro: bit та Arduino»</w:t>
        </w:r>
      </w:hyperlink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 та вебінар </w:t>
      </w:r>
      <w:hyperlink r:id="rId12" w:tgtFrame="_blank" w:history="1">
        <w:r w:rsidRPr="00940DA4">
          <w:rPr>
            <w:rFonts w:ascii="Arial" w:eastAsia="Times New Roman" w:hAnsi="Arial" w:cs="Arial"/>
            <w:color w:val="2979FF"/>
            <w:sz w:val="26"/>
            <w:szCs w:val="26"/>
            <w:lang w:eastAsia="uk-UA"/>
          </w:rPr>
          <w:t>«Вивчаємо мікроконтролери: розвиток навичок програмування і креативного мислення школярів»</w:t>
        </w:r>
      </w:hyperlink>
      <w:r w:rsidRPr="00940DA4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Сергія Петровича, фіналіста премії Global Teacher Prize Ukraine-2019. </w:t>
      </w:r>
    </w:p>
    <w:p w:rsidR="000C1634" w:rsidRDefault="000C1634">
      <w:bookmarkStart w:id="0" w:name="_GoBack"/>
      <w:bookmarkEnd w:id="0"/>
    </w:p>
    <w:sectPr w:rsidR="000C16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2EB6"/>
    <w:multiLevelType w:val="multilevel"/>
    <w:tmpl w:val="8D68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06F11"/>
    <w:multiLevelType w:val="multilevel"/>
    <w:tmpl w:val="7EB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33FDE"/>
    <w:multiLevelType w:val="multilevel"/>
    <w:tmpl w:val="B1BE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9276F"/>
    <w:multiLevelType w:val="multilevel"/>
    <w:tmpl w:val="0C06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15FDE"/>
    <w:multiLevelType w:val="multilevel"/>
    <w:tmpl w:val="2CAA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B277F"/>
    <w:multiLevelType w:val="multilevel"/>
    <w:tmpl w:val="FADA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0230E"/>
    <w:multiLevelType w:val="multilevel"/>
    <w:tmpl w:val="011C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BB6709"/>
    <w:multiLevelType w:val="multilevel"/>
    <w:tmpl w:val="02BE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E6FB2"/>
    <w:multiLevelType w:val="multilevel"/>
    <w:tmpl w:val="C052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45435D"/>
    <w:multiLevelType w:val="multilevel"/>
    <w:tmpl w:val="1232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D3B93"/>
    <w:multiLevelType w:val="multilevel"/>
    <w:tmpl w:val="6920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A2086C"/>
    <w:multiLevelType w:val="multilevel"/>
    <w:tmpl w:val="A4FC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2F7340"/>
    <w:multiLevelType w:val="multilevel"/>
    <w:tmpl w:val="62E4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E56094"/>
    <w:multiLevelType w:val="multilevel"/>
    <w:tmpl w:val="A212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663EBD"/>
    <w:multiLevelType w:val="multilevel"/>
    <w:tmpl w:val="52DA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5568AC"/>
    <w:multiLevelType w:val="multilevel"/>
    <w:tmpl w:val="CEE2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6078D7"/>
    <w:multiLevelType w:val="multilevel"/>
    <w:tmpl w:val="45A8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E85D2C"/>
    <w:multiLevelType w:val="multilevel"/>
    <w:tmpl w:val="3870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4759CA"/>
    <w:multiLevelType w:val="multilevel"/>
    <w:tmpl w:val="A52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EF5CB5"/>
    <w:multiLevelType w:val="multilevel"/>
    <w:tmpl w:val="C2C2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17"/>
  </w:num>
  <w:num w:numId="4">
    <w:abstractNumId w:val="15"/>
  </w:num>
  <w:num w:numId="5">
    <w:abstractNumId w:val="3"/>
  </w:num>
  <w:num w:numId="6">
    <w:abstractNumId w:val="8"/>
  </w:num>
  <w:num w:numId="7">
    <w:abstractNumId w:val="9"/>
  </w:num>
  <w:num w:numId="8">
    <w:abstractNumId w:val="13"/>
  </w:num>
  <w:num w:numId="9">
    <w:abstractNumId w:val="19"/>
  </w:num>
  <w:num w:numId="10">
    <w:abstractNumId w:val="7"/>
  </w:num>
  <w:num w:numId="11">
    <w:abstractNumId w:val="1"/>
  </w:num>
  <w:num w:numId="12">
    <w:abstractNumId w:val="2"/>
  </w:num>
  <w:num w:numId="13">
    <w:abstractNumId w:val="18"/>
  </w:num>
  <w:num w:numId="14">
    <w:abstractNumId w:val="4"/>
  </w:num>
  <w:num w:numId="15">
    <w:abstractNumId w:val="12"/>
  </w:num>
  <w:num w:numId="16">
    <w:abstractNumId w:val="14"/>
  </w:num>
  <w:num w:numId="17">
    <w:abstractNumId w:val="0"/>
  </w:num>
  <w:num w:numId="18">
    <w:abstractNumId w:val="16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A4"/>
    <w:rsid w:val="000C1634"/>
    <w:rsid w:val="0094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11652-23B0-40B7-9B5C-04F54A99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90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1429">
              <w:blockQuote w:val="1"/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naurok.com.ua/webinar/vivchaemo-mikrokontroleri-rozvitok-navichok-programuvannya-i-kreativnogo-mislennya-shkolyari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.gov.ua/ua/npa/pro-zatverdzhennya-tipovoyi-osvitnoyi-programi-dlya-5-9-klasiv-zagalnoyi-serednoyi-osviti" TargetMode="External"/><Relationship Id="rId11" Type="http://schemas.openxmlformats.org/officeDocument/2006/relationships/hyperlink" Target="https://naurok.com.ua/learn/cikave-programuvannya-stvorennya-onlayn-proektiv-iz-vikoristannyam-odnoplatnih-mikrokomp-yuteriv-bbc-micro-bit-ta-arduino-32" TargetMode="External"/><Relationship Id="rId5" Type="http://schemas.openxmlformats.org/officeDocument/2006/relationships/hyperlink" Target="https://www.kmu.gov.ua/npas/pro-deyaki-pitannya-derzhavnih-standartiv-povnoyi-zagalnoyi-serednoyi-osviti-i300920-898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13191</Words>
  <Characters>7520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2025-09-12T12:25:00Z</dcterms:created>
  <dcterms:modified xsi:type="dcterms:W3CDTF">2025-09-12T12:26:00Z</dcterms:modified>
</cp:coreProperties>
</file>